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5"/>
        <w:framePr w:h="1440" w:hAnchor="page" w:hRule="atLeast" w:hSpace="38" w:vAnchor="text" w:wrap="notBeside" w:x="5474" w:y="362"/>
        <w:widowControl w:val="false"/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  <w:lang w:val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54894" cy="91440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754894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9.44pt;height:72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5"/>
        <w:widowControl w:val="false"/>
        <w:pBdr/>
        <w:spacing/>
        <w:ind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  <w:sz w:val="18"/>
          <w:lang w:val="ru-RU"/>
        </w:rPr>
      </w:pPr>
      <w:r>
        <w:rPr>
          <w:rFonts w:ascii="Times New Roman" w:hAnsi="Times New Roman" w:cs="Times New Roman"/>
          <w:b/>
          <w:sz w:val="18"/>
          <w:lang w:val="ru-RU"/>
        </w:rPr>
      </w:r>
      <w:r>
        <w:rPr>
          <w:rFonts w:ascii="Times New Roman" w:hAnsi="Times New Roman" w:cs="Times New Roman"/>
          <w:b/>
          <w:sz w:val="18"/>
          <w:lang w:val="ru-RU"/>
        </w:rPr>
      </w:r>
      <w:r>
        <w:rPr>
          <w:rFonts w:ascii="Times New Roman" w:hAnsi="Times New Roman" w:cs="Times New Roman"/>
          <w:b/>
          <w:sz w:val="18"/>
          <w:lang w:val="ru-RU"/>
        </w:rPr>
      </w:r>
    </w:p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КОМИССИЯ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ПРЕДУПРЕЖДЕНИЮ И ЛИКВИДАЦИИ ЧРЕЗВЫЧАЙНЫХ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</w:rPr>
        <w:t xml:space="preserve">СИТУАЦИЙ И ОБЕСПЕЧЕНИЮ ПОЖАРНОЙ БЕЗОПАСНОСТИ </w:t>
      </w: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  <w:lang w:val="ru-RU"/>
        </w:rPr>
      </w:r>
    </w:p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</w:rPr>
        <w:t xml:space="preserve">МУНИЦИПАЛЬНОГО ОБРАЗОВАНИЯ «НИЖНЕКАМСКИЙ </w:t>
      </w: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  <w:lang w:val="ru-RU"/>
        </w:rPr>
      </w:r>
    </w:p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</w:rPr>
        <w:t xml:space="preserve">МУНИЦИПАЛЬНЫЙ РАЙОН» РЕСПУБЛИКИ ТАТАРСТАН</w:t>
      </w: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  <w:lang w:val="ru-RU"/>
        </w:rPr>
      </w:r>
    </w:p>
    <w:tbl>
      <w:tblPr>
        <w:tblW w:w="0" w:type="auto"/>
        <w:tblInd w:w="318" w:type="dxa"/>
        <w:tblBorders>
          <w:top w:val="single" w:color="auto" w:sz="2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598"/>
      </w:tblGrid>
      <w:tr>
        <w:trPr>
          <w:trHeight w:val="151"/>
        </w:trPr>
        <w:tc>
          <w:tcPr>
            <w:tcBorders>
              <w:top w:val="single" w:color="auto" w:sz="24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9598" w:type="dxa"/>
            <w:vAlign w:val="top"/>
            <w:textDirection w:val="lrTb"/>
            <w:noWrap w:val="false"/>
          </w:tcPr>
          <w:p>
            <w:pPr>
              <w:pStyle w:val="895"/>
              <w:widowControl w:val="false"/>
              <w:pBdr/>
              <w:spacing/>
              <w: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</w:t>
      </w:r>
      <w:r>
        <w:rPr>
          <w:rFonts w:ascii="Times New Roman" w:hAnsi="Times New Roman" w:cs="Times New Roman"/>
          <w:b/>
          <w:lang w:val="ru-RU"/>
        </w:rPr>
        <w:t xml:space="preserve">АСПОРЯЖЕНИЕ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895"/>
        <w:widowControl w:val="false"/>
        <w:pBdr/>
        <w:spacing/>
        <w:ind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№</w:t>
      </w:r>
      <w:r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u w:val="single"/>
          <w:lang w:val="ru-RU"/>
        </w:rPr>
        <w:t xml:space="preserve">11</w:t>
      </w:r>
      <w:r>
        <w:rPr>
          <w:rFonts w:ascii="Times New Roman" w:hAnsi="Times New Roman" w:cs="Times New Roman"/>
          <w:b/>
          <w:sz w:val="27"/>
          <w:szCs w:val="27"/>
          <w:lang w:val="ru-RU"/>
        </w:rPr>
      </w:r>
      <w:r>
        <w:rPr>
          <w:rFonts w:ascii="Times New Roman" w:hAnsi="Times New Roman" w:cs="Times New Roman"/>
          <w:b/>
          <w:sz w:val="27"/>
          <w:szCs w:val="27"/>
          <w:lang w:val="ru-RU"/>
        </w:rPr>
      </w:r>
    </w:p>
    <w:p>
      <w:pPr>
        <w:pStyle w:val="895"/>
        <w:widowControl w:val="false"/>
        <w:pBdr/>
        <w:spacing/>
        <w:ind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«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>
        <w:rPr>
          <w:rFonts w:ascii="Times New Roman" w:hAnsi="Times New Roman" w:cs="Times New Roman"/>
          <w:sz w:val="27"/>
          <w:szCs w:val="27"/>
          <w:u w:val="single"/>
          <w:lang w:val="ru-RU"/>
        </w:rPr>
        <w:t xml:space="preserve">23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» </w:t>
      </w:r>
      <w:r>
        <w:rPr>
          <w:rFonts w:ascii="Times New Roman" w:hAnsi="Times New Roman" w:cs="Times New Roman"/>
          <w:sz w:val="27"/>
          <w:szCs w:val="27"/>
          <w:u w:val="single"/>
          <w:lang w:val="ru-RU"/>
        </w:rPr>
        <w:t xml:space="preserve">03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u w:val="single"/>
        </w:rPr>
        <w:t xml:space="preserve">20</w:t>
      </w:r>
      <w:r>
        <w:rPr>
          <w:rFonts w:ascii="Times New Roman" w:hAnsi="Times New Roman" w:cs="Times New Roman"/>
          <w:sz w:val="27"/>
          <w:szCs w:val="27"/>
          <w:u w:val="single"/>
          <w:lang w:val="ru-RU"/>
        </w:rPr>
        <w:t xml:space="preserve">2</w:t>
      </w:r>
      <w:r>
        <w:rPr>
          <w:rFonts w:ascii="Times New Roman" w:hAnsi="Times New Roman" w:cs="Times New Roman"/>
          <w:sz w:val="27"/>
          <w:szCs w:val="27"/>
          <w:u w:val="single"/>
          <w:lang w:val="ru-RU"/>
        </w:rPr>
        <w:t xml:space="preserve">6</w:t>
      </w:r>
      <w:r>
        <w:rPr>
          <w:rFonts w:ascii="Times New Roman" w:hAnsi="Times New Roman" w:cs="Times New Roman"/>
          <w:sz w:val="27"/>
          <w:szCs w:val="27"/>
        </w:rPr>
        <w:t xml:space="preserve"> г.</w:t>
        <w:tab/>
        <w:t xml:space="preserve">                                                               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г. Нижн</w:t>
      </w:r>
      <w:r>
        <w:rPr>
          <w:rFonts w:ascii="Times New Roman" w:hAnsi="Times New Roman" w:cs="Times New Roman"/>
          <w:sz w:val="27"/>
          <w:szCs w:val="27"/>
        </w:rPr>
        <w:t xml:space="preserve">е</w:t>
      </w:r>
      <w:r>
        <w:rPr>
          <w:rFonts w:ascii="Times New Roman" w:hAnsi="Times New Roman" w:cs="Times New Roman"/>
          <w:sz w:val="27"/>
          <w:szCs w:val="27"/>
        </w:rPr>
        <w:t xml:space="preserve">камск</w:t>
      </w:r>
      <w:r>
        <w:rPr>
          <w:rFonts w:ascii="Times New Roman" w:hAnsi="Times New Roman" w:cs="Times New Roman"/>
          <w:sz w:val="27"/>
          <w:szCs w:val="27"/>
          <w:lang w:val="ru-RU"/>
        </w:rPr>
      </w:r>
      <w:r>
        <w:rPr>
          <w:rFonts w:ascii="Times New Roman" w:hAnsi="Times New Roman" w:cs="Times New Roman"/>
          <w:sz w:val="27"/>
          <w:szCs w:val="27"/>
          <w:lang w:val="ru-RU"/>
        </w:rPr>
      </w:r>
    </w:p>
    <w:p>
      <w:pPr>
        <w:pStyle w:val="895"/>
        <w:widowControl w:val="false"/>
        <w:pBdr/>
        <w:spacing/>
        <w:ind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</w:r>
      <w:r>
        <w:rPr>
          <w:rFonts w:ascii="Times New Roman" w:hAnsi="Times New Roman" w:cs="Times New Roman"/>
          <w:sz w:val="27"/>
          <w:szCs w:val="27"/>
          <w:lang w:val="ru-RU"/>
        </w:rPr>
      </w:r>
      <w:r>
        <w:rPr>
          <w:rFonts w:ascii="Times New Roman" w:hAnsi="Times New Roman" w:cs="Times New Roman"/>
          <w:sz w:val="27"/>
          <w:szCs w:val="27"/>
          <w:lang w:val="ru-RU"/>
        </w:rPr>
      </w:r>
    </w:p>
    <w:p>
      <w:pPr>
        <w:pStyle w:val="896"/>
        <w:pBdr/>
        <w:spacing w:after="0" w:before="0"/>
        <w:ind/>
        <w:jc w:val="center"/>
        <w:rPr>
          <w:rFonts w:ascii="Times New Roman" w:hAnsi="Times New Roman"/>
          <w:bCs w:val="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  <w:lang w:val="ru-RU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лана </w:t>
      </w:r>
      <w:r>
        <w:rPr>
          <w:rFonts w:ascii="Times New Roman" w:hAnsi="Times New Roman"/>
          <w:bCs w:val="0"/>
          <w:sz w:val="28"/>
          <w:szCs w:val="28"/>
        </w:rPr>
        <w:t xml:space="preserve">действий по ликвидации </w:t>
      </w:r>
      <w:r>
        <w:rPr>
          <w:rFonts w:ascii="Times New Roman" w:hAnsi="Times New Roman"/>
          <w:bCs w:val="0"/>
          <w:sz w:val="28"/>
          <w:szCs w:val="28"/>
          <w:lang w:val="ru-RU"/>
        </w:rPr>
        <w:t xml:space="preserve">последствий </w:t>
      </w:r>
      <w:r>
        <w:rPr>
          <w:rFonts w:ascii="Times New Roman" w:hAnsi="Times New Roman"/>
          <w:bCs w:val="0"/>
          <w:sz w:val="28"/>
          <w:szCs w:val="28"/>
          <w:lang w:val="ru-RU"/>
        </w:rPr>
      </w:r>
      <w:r>
        <w:rPr>
          <w:rFonts w:ascii="Times New Roman" w:hAnsi="Times New Roman"/>
          <w:bCs w:val="0"/>
          <w:sz w:val="28"/>
          <w:szCs w:val="28"/>
          <w:lang w:val="ru-RU"/>
        </w:rPr>
      </w:r>
    </w:p>
    <w:p>
      <w:pPr>
        <w:pStyle w:val="896"/>
        <w:pBdr/>
        <w:spacing w:after="0" w:before="0"/>
        <w:ind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  <w:lang w:val="ru-RU"/>
        </w:rPr>
        <w:t xml:space="preserve">аварийных ситуаций в сфере теплоснабжения 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Нижн</w:t>
      </w:r>
      <w:r>
        <w:rPr>
          <w:b/>
          <w:bCs/>
        </w:rPr>
        <w:t xml:space="preserve">е</w:t>
      </w:r>
      <w:r>
        <w:rPr>
          <w:b/>
          <w:bCs/>
        </w:rPr>
        <w:t xml:space="preserve">камского муниципального района </w:t>
      </w:r>
      <w:r>
        <w:rPr>
          <w:b/>
          <w:bCs/>
        </w:rPr>
      </w:r>
      <w:r>
        <w:rPr>
          <w:b/>
          <w:bCs/>
        </w:rPr>
      </w:r>
    </w:p>
    <w:p>
      <w:pPr>
        <w:pStyle w:val="920"/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с применением электронного моделирования аварийных ситуаций </w:t>
      </w:r>
      <w:r>
        <w:rPr>
          <w:b/>
          <w:bCs/>
        </w:rPr>
      </w:r>
      <w:r>
        <w:rPr>
          <w:b/>
          <w:bCs/>
        </w:rPr>
      </w:r>
    </w:p>
    <w:p>
      <w:pPr>
        <w:pStyle w:val="920"/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в отопительный период 202</w:t>
      </w:r>
      <w:r>
        <w:rPr>
          <w:b/>
          <w:bCs/>
        </w:rPr>
        <w:t xml:space="preserve">6</w:t>
      </w:r>
      <w:r>
        <w:rPr>
          <w:b/>
          <w:bCs/>
        </w:rPr>
        <w:t xml:space="preserve">-202</w:t>
      </w:r>
      <w:r>
        <w:rPr>
          <w:b/>
          <w:bCs/>
        </w:rPr>
        <w:t xml:space="preserve">7</w:t>
      </w:r>
      <w:r>
        <w:rPr>
          <w:b/>
          <w:bCs/>
        </w:rPr>
        <w:t xml:space="preserve"> годов</w:t>
      </w:r>
      <w:r>
        <w:rPr>
          <w:b/>
          <w:bCs/>
        </w:rPr>
      </w:r>
      <w:r>
        <w:rPr>
          <w:b/>
          <w:bCs/>
        </w:rPr>
      </w:r>
    </w:p>
    <w:p>
      <w:pPr>
        <w:pStyle w:val="895"/>
        <w:pBdr/>
        <w:spacing w:line="317" w:lineRule="exact"/>
        <w:ind w:right="40" w:firstLine="720" w:left="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95"/>
        <w:pBdr/>
        <w:spacing w:line="276" w:lineRule="auto"/>
        <w:ind w:right="40" w:firstLine="720"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совершенствования работы в области обеспечения безаварийной работы объектов топливно-энергетического комплекса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жилищно</w:t>
      </w:r>
      <w:r>
        <w:rPr>
          <w:rFonts w:ascii="Times New Roman" w:hAnsi="Times New Roman" w:cs="Times New Roman"/>
          <w:sz w:val="28"/>
          <w:szCs w:val="28"/>
        </w:rPr>
        <w:t xml:space="preserve">-коммунального хозяйства, готовности сил и средств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местного звена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территориальной подсистемы РСЧС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Нижнекамского муниципального района Республики Татарстан </w:t>
      </w:r>
      <w:r>
        <w:rPr>
          <w:rFonts w:ascii="Times New Roman" w:hAnsi="Times New Roman" w:cs="Times New Roman"/>
          <w:sz w:val="28"/>
          <w:szCs w:val="28"/>
        </w:rPr>
        <w:t xml:space="preserve">к ликвидации возможных чрезвычайных ситуаций в условиях аномально низких температур зимнего периода, Комиссия по предупрежден</w:t>
      </w:r>
      <w:r>
        <w:rPr>
          <w:rFonts w:ascii="Times New Roman" w:hAnsi="Times New Roman" w:cs="Times New Roman"/>
          <w:sz w:val="28"/>
          <w:szCs w:val="28"/>
        </w:rPr>
        <w:t xml:space="preserve">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Нижнекамского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Татарстан (далее - Комиссия) </w:t>
      </w:r>
      <w:r>
        <w:rPr>
          <w:rStyle w:val="918"/>
          <w:rFonts w:eastAsia="Tahoma"/>
          <w:b/>
          <w:sz w:val="28"/>
          <w:szCs w:val="28"/>
        </w:rPr>
        <w:t xml:space="preserve">предлагает: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0"/>
        <w:numPr>
          <w:ilvl w:val="0"/>
          <w:numId w:val="5"/>
        </w:numPr>
        <w:pBdr/>
        <w:tabs>
          <w:tab w:val="left" w:leader="none" w:pos="0"/>
        </w:tabs>
        <w:spacing w:line="276" w:lineRule="auto"/>
        <w:ind w:firstLine="426" w:left="0"/>
        <w:jc w:val="both"/>
        <w:rPr/>
      </w:pPr>
      <w:r>
        <w:t xml:space="preserve">Утвердить прилагаемый План </w:t>
      </w:r>
      <w:r>
        <w:rPr>
          <w:bCs/>
        </w:rPr>
        <w:t xml:space="preserve">действий по ликвидации последствий аварийных ситуаций в сфере теплоснабжения Нижн</w:t>
      </w:r>
      <w:r>
        <w:rPr>
          <w:bCs/>
        </w:rPr>
        <w:t xml:space="preserve">е</w:t>
      </w:r>
      <w:r>
        <w:rPr>
          <w:bCs/>
        </w:rPr>
        <w:t xml:space="preserve">камского муниципального района с применением электронного моделирования аварийных ситуаций в отопительный период 2026-2027 годов.</w:t>
      </w:r>
      <w:r/>
    </w:p>
    <w:p>
      <w:pPr>
        <w:pStyle w:val="895"/>
        <w:numPr>
          <w:ilvl w:val="0"/>
          <w:numId w:val="5"/>
        </w:numPr>
        <w:pBdr/>
        <w:tabs>
          <w:tab w:val="left" w:leader="none" w:pos="709"/>
        </w:tabs>
        <w:spacing w:line="276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оставляю за собой.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pBdr/>
        <w:spacing/>
        <w:ind w:right="3257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8"/>
        <w:pBdr/>
        <w:spacing/>
        <w:ind w:right="3257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8"/>
        <w:pBdr/>
        <w:spacing/>
        <w:ind w:right="325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Руководитель Исполнительного комитета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Нижнекамского муниципального района –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8"/>
        <w:pBdr/>
        <w:tabs>
          <w:tab w:val="left" w:leader="none" w:pos="6379"/>
        </w:tabs>
        <w:spacing/>
        <w:ind w:right="396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комиссии по  предупреждению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8"/>
        <w:pBdr/>
        <w:spacing/>
        <w:ind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ликвидации чрезвычайных ситуаций 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8"/>
        <w:pBdr/>
        <w:spacing/>
        <w:ind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обеспечению </w:t>
      </w:r>
      <w:r>
        <w:rPr>
          <w:b/>
          <w:sz w:val="28"/>
          <w:szCs w:val="28"/>
        </w:rPr>
        <w:t xml:space="preserve">пожарной безопасности</w:t>
      </w:r>
      <w:r>
        <w:rPr>
          <w:b/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Р.М. Латыпов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continuous"/>
      <w:pgSz w:h="16837" w:orient="portrait" w:w="11905"/>
      <w:pgMar w:top="426" w:right="706" w:bottom="284" w:left="1134" w:header="0" w:footer="6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Tahoma">
    <w:panose1 w:val="020B060403050404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position w:val="0"/>
        <w:sz w:val="23"/>
        <w:szCs w:val="23"/>
        <w:u w:val="none"/>
        <w:lang w:val="ru"/>
      </w:rPr>
      <w:start w:val="1"/>
      <w:suff w:val="tab"/>
    </w:lvl>
    <w:lvl w:ilvl="1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"/>
      </w:rPr>
      <w:start w:val="1"/>
      <w:suff w:val="tab"/>
    </w:lvl>
    <w:lvl w:ilvl="1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position w:val="0"/>
        <w:sz w:val="23"/>
        <w:szCs w:val="23"/>
        <w:u w:val="none"/>
        <w:lang w:val="ru"/>
      </w:rPr>
      <w:start w:val="1"/>
      <w:suff w:val="tab"/>
    </w:lvl>
    <w:lvl w:ilvl="1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86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-"/>
      <w:numFmt w:val="bullet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"/>
      </w:rPr>
      <w:start w:val="1"/>
      <w:suff w:val="tab"/>
    </w:lvl>
    <w:lvl w:ilvl="1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decimal"/>
      <w:pPr>
        <w:pBdr/>
        <w:spacing/>
        <w:ind/>
      </w:pPr>
      <w:rPr/>
      <w:start w:val="0"/>
      <w:suff w:val="tab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ahoma" w:hAnsi="Tahoma" w:eastAsia="Tahoma" w:cs="Tahoma"/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5"/>
    <w:next w:val="895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5"/>
    <w:next w:val="895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5"/>
    <w:next w:val="895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5"/>
    <w:next w:val="895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5"/>
    <w:next w:val="895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5"/>
    <w:next w:val="895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5"/>
    <w:next w:val="895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5"/>
    <w:next w:val="895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5"/>
    <w:next w:val="895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5"/>
    <w:next w:val="895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5"/>
    <w:next w:val="895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5"/>
    <w:next w:val="895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5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5"/>
    <w:next w:val="895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5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5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5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5"/>
    <w:next w:val="89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5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5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5"/>
    <w:next w:val="895"/>
    <w:uiPriority w:val="39"/>
    <w:unhideWhenUsed/>
    <w:pPr>
      <w:pBdr/>
      <w:spacing w:after="100"/>
      <w:ind/>
    </w:pPr>
  </w:style>
  <w:style w:type="paragraph" w:styleId="885">
    <w:name w:val="toc 2"/>
    <w:basedOn w:val="895"/>
    <w:next w:val="895"/>
    <w:uiPriority w:val="39"/>
    <w:unhideWhenUsed/>
    <w:pPr>
      <w:pBdr/>
      <w:spacing w:after="100"/>
      <w:ind w:left="220"/>
    </w:pPr>
  </w:style>
  <w:style w:type="paragraph" w:styleId="886">
    <w:name w:val="toc 3"/>
    <w:basedOn w:val="895"/>
    <w:next w:val="895"/>
    <w:uiPriority w:val="39"/>
    <w:unhideWhenUsed/>
    <w:pPr>
      <w:pBdr/>
      <w:spacing w:after="100"/>
      <w:ind w:left="440"/>
    </w:pPr>
  </w:style>
  <w:style w:type="paragraph" w:styleId="887">
    <w:name w:val="toc 4"/>
    <w:basedOn w:val="895"/>
    <w:next w:val="895"/>
    <w:uiPriority w:val="39"/>
    <w:unhideWhenUsed/>
    <w:pPr>
      <w:pBdr/>
      <w:spacing w:after="100"/>
      <w:ind w:left="660"/>
    </w:pPr>
  </w:style>
  <w:style w:type="paragraph" w:styleId="888">
    <w:name w:val="toc 5"/>
    <w:basedOn w:val="895"/>
    <w:next w:val="895"/>
    <w:uiPriority w:val="39"/>
    <w:unhideWhenUsed/>
    <w:pPr>
      <w:pBdr/>
      <w:spacing w:after="100"/>
      <w:ind w:left="880"/>
    </w:pPr>
  </w:style>
  <w:style w:type="paragraph" w:styleId="889">
    <w:name w:val="toc 6"/>
    <w:basedOn w:val="895"/>
    <w:next w:val="895"/>
    <w:uiPriority w:val="39"/>
    <w:unhideWhenUsed/>
    <w:pPr>
      <w:pBdr/>
      <w:spacing w:after="100"/>
      <w:ind w:left="1100"/>
    </w:pPr>
  </w:style>
  <w:style w:type="paragraph" w:styleId="890">
    <w:name w:val="toc 7"/>
    <w:basedOn w:val="895"/>
    <w:next w:val="895"/>
    <w:uiPriority w:val="39"/>
    <w:unhideWhenUsed/>
    <w:pPr>
      <w:pBdr/>
      <w:spacing w:after="100"/>
      <w:ind w:left="1320"/>
    </w:pPr>
  </w:style>
  <w:style w:type="paragraph" w:styleId="891">
    <w:name w:val="toc 8"/>
    <w:basedOn w:val="895"/>
    <w:next w:val="895"/>
    <w:uiPriority w:val="39"/>
    <w:unhideWhenUsed/>
    <w:pPr>
      <w:pBdr/>
      <w:spacing w:after="100"/>
      <w:ind w:left="1540"/>
    </w:pPr>
  </w:style>
  <w:style w:type="paragraph" w:styleId="892">
    <w:name w:val="toc 9"/>
    <w:basedOn w:val="895"/>
    <w:next w:val="895"/>
    <w:uiPriority w:val="39"/>
    <w:unhideWhenUsed/>
    <w:pPr>
      <w:pBdr/>
      <w:spacing w:after="100"/>
      <w:ind w:left="1760"/>
    </w:pPr>
  </w:style>
  <w:style w:type="paragraph" w:styleId="893">
    <w:name w:val="TOC Heading"/>
    <w:uiPriority w:val="39"/>
    <w:unhideWhenUsed/>
    <w:pPr>
      <w:pBdr/>
      <w:spacing/>
      <w:ind/>
    </w:pPr>
  </w:style>
  <w:style w:type="paragraph" w:styleId="894">
    <w:name w:val="table of figures"/>
    <w:basedOn w:val="895"/>
    <w:next w:val="895"/>
    <w:uiPriority w:val="99"/>
    <w:unhideWhenUsed/>
    <w:pPr>
      <w:pBdr/>
      <w:spacing w:after="0" w:afterAutospacing="0"/>
      <w:ind/>
    </w:pPr>
  </w:style>
  <w:style w:type="paragraph" w:styleId="895" w:default="1">
    <w:name w:val="Normal"/>
    <w:next w:val="895"/>
    <w:link w:val="895"/>
    <w:qFormat/>
    <w:pPr>
      <w:pBdr/>
      <w:spacing/>
      <w:ind/>
    </w:pPr>
    <w:rPr>
      <w:color w:val="000000"/>
      <w:sz w:val="24"/>
      <w:szCs w:val="24"/>
      <w:lang w:val="ru" w:eastAsia="ru-RU" w:bidi="ar-SA"/>
    </w:rPr>
  </w:style>
  <w:style w:type="paragraph" w:styleId="896">
    <w:name w:val="Заголовок 1"/>
    <w:basedOn w:val="895"/>
    <w:next w:val="895"/>
    <w:link w:val="919"/>
    <w:uiPriority w:val="9"/>
    <w:qFormat/>
    <w:pPr>
      <w:keepNext w:val="true"/>
      <w:pBdr/>
      <w:spacing w:after="60" w:before="240"/>
      <w:ind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897">
    <w:name w:val="Основной шрифт абзаца"/>
    <w:next w:val="897"/>
    <w:link w:val="895"/>
    <w:uiPriority w:val="1"/>
    <w:semiHidden/>
    <w:unhideWhenUsed/>
    <w:pPr>
      <w:pBdr/>
      <w:spacing/>
      <w:ind/>
    </w:pPr>
  </w:style>
  <w:style w:type="table" w:styleId="898">
    <w:name w:val="Обычная таблица"/>
    <w:next w:val="898"/>
    <w:link w:val="895"/>
    <w:uiPriority w:val="99"/>
    <w:semiHidden/>
    <w:unhideWhenUsed/>
    <w:qFormat/>
    <w:pPr>
      <w:pBdr/>
      <w:spacing/>
      <w:ind/>
    </w:pPr>
    <w:tblPr>
      <w:tblW w:w="0" w:type="auto"/>
      <w:tblInd w:w="0" w:type="dxa"/>
      <w:tblBorders/>
      <w:tblLayout w:type="fixed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9">
    <w:name w:val="Нет списка"/>
    <w:next w:val="899"/>
    <w:link w:val="895"/>
    <w:uiPriority w:val="99"/>
    <w:semiHidden/>
    <w:unhideWhenUsed/>
    <w:pPr>
      <w:pBdr/>
      <w:spacing/>
      <w:ind/>
    </w:pPr>
  </w:style>
  <w:style w:type="character" w:styleId="900">
    <w:name w:val="Гиперссылка"/>
    <w:next w:val="900"/>
    <w:link w:val="895"/>
    <w:pPr>
      <w:pBdr/>
      <w:spacing/>
      <w:ind/>
    </w:pPr>
    <w:rPr>
      <w:color w:val="000080"/>
      <w:u w:val="single"/>
    </w:rPr>
  </w:style>
  <w:style w:type="character" w:styleId="901">
    <w:name w:val="Основной текст (2)_"/>
    <w:next w:val="901"/>
    <w:link w:val="905"/>
    <w:pPr>
      <w:pBdr/>
      <w:spacing/>
      <w:ind/>
    </w:pPr>
    <w:rPr>
      <w:rFonts w:ascii="Times New Roman" w:hAnsi="Times New Roman" w:eastAsia="Times New Roman" w:cs="Times New Roman"/>
      <w:spacing w:val="0"/>
      <w:sz w:val="24"/>
      <w:szCs w:val="24"/>
    </w:rPr>
  </w:style>
  <w:style w:type="character" w:styleId="902">
    <w:name w:val="Заголовок №1_"/>
    <w:next w:val="902"/>
    <w:link w:val="906"/>
    <w:pPr>
      <w:pBdr/>
      <w:spacing/>
      <w:ind/>
    </w:pPr>
    <w:rPr>
      <w:rFonts w:ascii="Times New Roman" w:hAnsi="Times New Roman" w:eastAsia="Times New Roman" w:cs="Times New Roman"/>
      <w:spacing w:val="0"/>
      <w:sz w:val="27"/>
      <w:szCs w:val="27"/>
    </w:rPr>
  </w:style>
  <w:style w:type="character" w:styleId="903">
    <w:name w:val="Основной текст_"/>
    <w:next w:val="903"/>
    <w:link w:val="907"/>
    <w:pPr>
      <w:pBdr/>
      <w:spacing/>
      <w:ind/>
    </w:pPr>
    <w:rPr>
      <w:rFonts w:ascii="Times New Roman" w:hAnsi="Times New Roman" w:eastAsia="Times New Roman" w:cs="Times New Roman"/>
      <w:spacing w:val="0"/>
      <w:sz w:val="27"/>
      <w:szCs w:val="27"/>
    </w:rPr>
  </w:style>
  <w:style w:type="character" w:styleId="904">
    <w:name w:val="Основной текст1"/>
    <w:next w:val="904"/>
    <w:link w:val="895"/>
    <w:pPr>
      <w:pBdr/>
      <w:spacing/>
      <w:ind/>
    </w:pPr>
    <w:rPr>
      <w:rFonts w:ascii="Times New Roman" w:hAnsi="Times New Roman" w:eastAsia="Times New Roman" w:cs="Times New Roman"/>
      <w:strike/>
      <w:spacing w:val="0"/>
      <w:sz w:val="27"/>
      <w:szCs w:val="27"/>
    </w:rPr>
  </w:style>
  <w:style w:type="paragraph" w:styleId="905">
    <w:name w:val="Основной текст (2)"/>
    <w:basedOn w:val="895"/>
    <w:next w:val="905"/>
    <w:link w:val="901"/>
    <w:pPr>
      <w:pBdr/>
      <w:shd w:val="clear" w:color="auto" w:fill="ffffff"/>
      <w:spacing w:after="360" w:line="0" w:lineRule="atLeast"/>
      <w:ind/>
    </w:pPr>
    <w:rPr>
      <w:rFonts w:ascii="Times New Roman" w:hAnsi="Times New Roman" w:eastAsia="Times New Roman" w:cs="Times New Roman"/>
      <w:b/>
      <w:bCs/>
      <w:spacing w:val="0"/>
      <w:sz w:val="24"/>
      <w:szCs w:val="24"/>
    </w:rPr>
  </w:style>
  <w:style w:type="paragraph" w:styleId="906">
    <w:name w:val="Заголовок №1"/>
    <w:basedOn w:val="895"/>
    <w:next w:val="906"/>
    <w:link w:val="902"/>
    <w:pPr>
      <w:pBdr/>
      <w:shd w:val="clear" w:color="auto" w:fill="ffffff"/>
      <w:spacing w:before="360" w:line="322" w:lineRule="exact"/>
      <w:ind/>
      <w:outlineLvl w:val="0"/>
    </w:pPr>
    <w:rPr>
      <w:rFonts w:ascii="Times New Roman" w:hAnsi="Times New Roman" w:eastAsia="Times New Roman" w:cs="Times New Roman"/>
      <w:b/>
      <w:bCs/>
      <w:spacing w:val="0"/>
      <w:sz w:val="27"/>
      <w:szCs w:val="27"/>
    </w:rPr>
  </w:style>
  <w:style w:type="paragraph" w:styleId="907">
    <w:name w:val="Основной текст2"/>
    <w:basedOn w:val="895"/>
    <w:next w:val="907"/>
    <w:link w:val="903"/>
    <w:pPr>
      <w:pBdr/>
      <w:shd w:val="clear" w:color="auto" w:fill="ffffff"/>
      <w:spacing w:after="300" w:before="300" w:line="317" w:lineRule="exact"/>
      <w:ind w:hanging="340"/>
      <w:jc w:val="both"/>
    </w:pPr>
    <w:rPr>
      <w:rFonts w:ascii="Times New Roman" w:hAnsi="Times New Roman" w:eastAsia="Times New Roman" w:cs="Times New Roman"/>
      <w:spacing w:val="0"/>
      <w:sz w:val="27"/>
      <w:szCs w:val="27"/>
    </w:rPr>
  </w:style>
  <w:style w:type="paragraph" w:styleId="908">
    <w:name w:val="Основной текст"/>
    <w:basedOn w:val="895"/>
    <w:next w:val="908"/>
    <w:link w:val="909"/>
    <w:pPr>
      <w:pBdr/>
      <w:spacing/>
      <w:ind w:right="5668"/>
    </w:pPr>
    <w:rPr>
      <w:rFonts w:ascii="Times New Roman" w:hAnsi="Times New Roman" w:eastAsia="Times New Roman" w:cs="Times New Roman"/>
      <w:color w:val="000000"/>
      <w:szCs w:val="20"/>
      <w:lang w:val="ru-RU"/>
    </w:rPr>
  </w:style>
  <w:style w:type="character" w:styleId="909">
    <w:name w:val="Основной текст Знак"/>
    <w:next w:val="909"/>
    <w:link w:val="908"/>
    <w:pPr>
      <w:pBdr/>
      <w:spacing/>
      <w:ind/>
    </w:pPr>
    <w:rPr>
      <w:rFonts w:ascii="Times New Roman" w:hAnsi="Times New Roman" w:eastAsia="Times New Roman" w:cs="Times New Roman"/>
      <w:szCs w:val="20"/>
      <w:lang w:val="ru-RU"/>
    </w:rPr>
  </w:style>
  <w:style w:type="paragraph" w:styleId="910">
    <w:name w:val="Текст выноски"/>
    <w:basedOn w:val="895"/>
    <w:next w:val="910"/>
    <w:link w:val="911"/>
    <w:uiPriority w:val="99"/>
    <w:semiHidden/>
    <w:unhideWhenUsed/>
    <w:pPr>
      <w:pBdr/>
      <w:spacing/>
      <w:ind/>
    </w:pPr>
    <w:rPr>
      <w:sz w:val="16"/>
      <w:szCs w:val="16"/>
    </w:rPr>
  </w:style>
  <w:style w:type="character" w:styleId="911">
    <w:name w:val="Текст выноски Знак"/>
    <w:next w:val="911"/>
    <w:link w:val="910"/>
    <w:uiPriority w:val="99"/>
    <w:semiHidden/>
    <w:pPr>
      <w:pBdr/>
      <w:spacing/>
      <w:ind/>
    </w:pPr>
    <w:rPr>
      <w:color w:val="000000"/>
      <w:sz w:val="16"/>
      <w:szCs w:val="16"/>
    </w:rPr>
  </w:style>
  <w:style w:type="character" w:styleId="912">
    <w:name w:val="Основной текст + Полужирный;Интервал 1 pt"/>
    <w:next w:val="912"/>
    <w:link w:val="895"/>
    <w:pPr>
      <w:pBdr/>
      <w:spacing/>
      <w:ind/>
    </w:pPr>
    <w:rPr>
      <w:rFonts w:ascii="Times New Roman" w:hAnsi="Times New Roman" w:eastAsia="Times New Roman" w:cs="Times New Roman"/>
      <w:b/>
      <w:bCs/>
      <w:spacing w:val="16"/>
      <w:sz w:val="23"/>
      <w:szCs w:val="23"/>
    </w:rPr>
  </w:style>
  <w:style w:type="character" w:styleId="913">
    <w:name w:val="Колонтитул_"/>
    <w:next w:val="913"/>
    <w:link w:val="915"/>
    <w:pPr>
      <w:pBdr/>
      <w:spacing/>
      <w:ind/>
    </w:pPr>
    <w:rPr>
      <w:rFonts w:ascii="Times New Roman" w:hAnsi="Times New Roman" w:eastAsia="Times New Roman" w:cs="Times New Roman"/>
      <w:shd w:val="clear" w:color="auto" w:fill="ffffff"/>
    </w:rPr>
  </w:style>
  <w:style w:type="character" w:styleId="914">
    <w:name w:val="Колонтитул + 10;5 pt"/>
    <w:basedOn w:val="913"/>
    <w:next w:val="914"/>
    <w:link w:val="895"/>
    <w:pPr>
      <w:pBdr/>
      <w:spacing/>
      <w:ind/>
    </w:pPr>
  </w:style>
  <w:style w:type="paragraph" w:styleId="915">
    <w:name w:val="Колонтитул"/>
    <w:basedOn w:val="895"/>
    <w:next w:val="915"/>
    <w:link w:val="913"/>
    <w:pPr>
      <w:pBdr/>
      <w:shd w:val="clear" w:color="auto" w:fill="ffffff"/>
      <w:spacing/>
      <w:ind/>
    </w:pPr>
    <w:rPr>
      <w:rFonts w:ascii="Times New Roman" w:hAnsi="Times New Roman" w:eastAsia="Times New Roman" w:cs="Times New Roman"/>
      <w:color w:val="000000"/>
      <w:sz w:val="20"/>
      <w:szCs w:val="20"/>
      <w:lang w:val="ru-RU"/>
    </w:rPr>
  </w:style>
  <w:style w:type="character" w:styleId="916">
    <w:name w:val="Основной текст (3)_"/>
    <w:next w:val="916"/>
    <w:link w:val="917"/>
    <w:pPr>
      <w:pBdr/>
      <w:spacing/>
      <w:ind/>
    </w:pPr>
    <w:rPr>
      <w:rFonts w:ascii="Times New Roman" w:hAnsi="Times New Roman" w:eastAsia="Times New Roman" w:cs="Times New Roman"/>
      <w:spacing w:val="12"/>
      <w:sz w:val="24"/>
      <w:szCs w:val="24"/>
      <w:shd w:val="clear" w:color="auto" w:fill="ffffff"/>
    </w:rPr>
  </w:style>
  <w:style w:type="paragraph" w:styleId="917">
    <w:name w:val="Основной текст (3)"/>
    <w:basedOn w:val="895"/>
    <w:next w:val="917"/>
    <w:link w:val="916"/>
    <w:pPr>
      <w:pBdr/>
      <w:shd w:val="clear" w:color="auto" w:fill="ffffff"/>
      <w:spacing w:before="780" w:line="317" w:lineRule="exact"/>
      <w:ind/>
      <w:jc w:val="center"/>
    </w:pPr>
    <w:rPr>
      <w:rFonts w:ascii="Times New Roman" w:hAnsi="Times New Roman" w:eastAsia="Times New Roman" w:cs="Times New Roman"/>
      <w:color w:val="000000"/>
      <w:spacing w:val="12"/>
      <w:lang w:val="ru-RU"/>
    </w:rPr>
  </w:style>
  <w:style w:type="character" w:styleId="918">
    <w:name w:val="Основной текст + Интервал 4 pt"/>
    <w:next w:val="918"/>
    <w:link w:val="895"/>
    <w:pPr>
      <w:pBdr/>
      <w:spacing/>
      <w:ind/>
    </w:pPr>
    <w:rPr>
      <w:rFonts w:ascii="Times New Roman" w:hAnsi="Times New Roman" w:eastAsia="Times New Roman" w:cs="Times New Roman"/>
      <w:spacing w:val="77"/>
      <w:sz w:val="23"/>
      <w:szCs w:val="23"/>
    </w:rPr>
  </w:style>
  <w:style w:type="character" w:styleId="919">
    <w:name w:val="Заголовок 1 Знак"/>
    <w:next w:val="919"/>
    <w:link w:val="896"/>
    <w:uiPriority w:val="9"/>
    <w:pPr>
      <w:pBdr/>
      <w:spacing/>
      <w:ind/>
    </w:pPr>
    <w:rPr>
      <w:rFonts w:ascii="Cambria" w:hAnsi="Cambria" w:eastAsia="Times New Roman" w:cs="Times New Roman"/>
      <w:b/>
      <w:bCs/>
      <w:color w:val="000000"/>
      <w:sz w:val="32"/>
      <w:szCs w:val="32"/>
      <w:lang w:val="ru"/>
    </w:rPr>
  </w:style>
  <w:style w:type="paragraph" w:styleId="920">
    <w:name w:val="FR2"/>
    <w:next w:val="920"/>
    <w:link w:val="895"/>
    <w:pPr>
      <w:widowControl w:val="false"/>
      <w:pBdr/>
      <w:spacing/>
      <w:ind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ONLYOFFICE/8.2.1.38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8</cp:revision>
  <dcterms:created xsi:type="dcterms:W3CDTF">2026-03-16T08:25:00Z</dcterms:created>
  <dcterms:modified xsi:type="dcterms:W3CDTF">2026-03-30T12:04:08Z</dcterms:modified>
  <cp:version>1048576</cp:version>
</cp:coreProperties>
</file>